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left="0" w:right="0" w:firstLine="5954"/>
        <w:jc w:val="lef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№ 1 к ТТ</w:t>
      </w:r>
    </w:p>
    <w:p>
      <w:pPr>
        <w:pStyle w:val="Normal"/>
        <w:shd w:val="clear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left="0" w:right="0" w:firstLine="5954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Градостроительный кодекс РФ;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Земельный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Воздушный кодекс Российской Федерации;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24.07.2007 г. № 221-ФЗ «О кадастровой деятельности»;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Федеральный закон от 13.07.2015 № 218-ФЗ «О государственной регистрации недвижимости»;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Лесной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Водный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26.06.2008 N 102-ФЗ «Об обеспечении единства измерений»;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27.12.2002 N 184-ФЗ «О техническом регулировании»;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07.07.2003 N 126-ФЗ "О связи";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10.01.2002 N 7-ФЗ "Об охране окружающей среды;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14.03.1995 N 33-ФЗ "Об особо охраняемых природных территориях";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25.06.2002 N 73-ФЗ "Об объектах культурного наследия (памятниках истории и культуры) народов Российской Федерации";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Федеральный закон от 26.03.2003 № 35-ФЗ «Об электроэнергетике», в актуальной редакции;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22.04.2017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16.02.2008г. № 87 «О составе разделов проектной документации и требованиях к их содержанию»;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/>
      </w:pPr>
      <w:r>
        <w:rPr>
          <w:color w:val="000000"/>
          <w:sz w:val="24"/>
          <w:szCs w:val="24"/>
        </w:rPr>
        <w:t>Приказ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Приказ №421/пр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технической эксплуатации электрических станций и сетей Российской Федерации, утверждённые приказом Минэнерго России от 04.10.2022 № 1070;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ПУЭ (действующее издание);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ПТЭ (действующее издание);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 56947007-29.240.10.248-2017.Нормы технологического проектирования ПС переменного тока с высшим напряжением 35-750 кВ;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 56947007-29.240.55.192-2014. Нормы технологического проектирования ВЛ электропередачи напряжением 35-750 кВ;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СНиП 12-01-2004 Организация строительства. Актуализированная редакция;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оснащению линий электропередачи и оборудования объектов электроэнергетики классом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от 13.02.2019 № 101;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каналам связи для функционирования релейной защиты и автоматики;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/>
      </w:pPr>
      <w:r>
        <w:rPr>
          <w:szCs w:val="26"/>
        </w:rPr>
        <w:t>«</w:t>
      </w:r>
      <w:r>
        <w:rPr>
          <w:rFonts w:eastAsia="Calibri"/>
          <w:sz w:val="24"/>
          <w:szCs w:val="24"/>
          <w:lang w:eastAsia="en-US"/>
        </w:rPr>
        <w:t xml:space="preserve">Методические указания по проектированию развития энергосистем»,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 1484-ст;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требования», утвержденный приказом Росстандарта от 12.12.2014 № 1983-ст;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57114-2022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определения», утвержденный приказом Росстандарта от 29.12.2022 №1683-ст;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59909-2021 «Единая энергетическая система и изолированно работающие энергосистемы. Релейная защита и автоматика. Классификация», утвержденный приказом Росстандарта от 30.11.2021 №1649-ст;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требования», утвержденный приказом Росстандарта от 03.06.2021 № 504-ст.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Межгосударственный стандарт ГОСТ 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в качестве национального стандарта приказом Росстандарта от 09.03.2017 № 103-ст;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релейной защите и автоматике различных видов и ее функционированию в составе энергосистемы, утверждённые приказом Минэнерго РФ от 10.07.2020 № 546;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937;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58982-2020 «Единая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кВ. Функциональные требования», утвержденный приказом Росстандарта от 27.08.2020 № 574-ст;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58981-2020 «Единая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кВ. Функциональные требования», утвержденный приказом Росстандарта от 27.08.2020 № 573-ст;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58979-2020 «Единая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кВ. Функциональные требования», утвержденный приказом Росстандарта от 27.08.2020 № 571-ст;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58887-2020 «Единая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кВ. Функциональные требования», утвержденный приказом Росстандарта от 27.08.2020 № 569-ст;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требования», утвержденный приказом Росстандарта от 15.10.2019 № 995-ст;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Национальный стандарт Российской Федерации ГОСТ Р 58057-2018 «Единая энергетическая система и изолированно работающие энергосистемы. Планирование развития энергосистем. Общие требования», утвержденный приказом Росстандарта от 13.03.2018 № 128-ст.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Техническая политика Группы РусГидро;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Региональная карта климатического районирования </w:t>
      </w:r>
      <w:r>
        <w:rPr>
          <w:color w:val="000000"/>
          <w:sz w:val="24"/>
          <w:szCs w:val="24"/>
        </w:rPr>
        <w:t>Хабаровского</w:t>
      </w:r>
      <w:r>
        <w:rPr>
          <w:color w:val="000000"/>
          <w:sz w:val="24"/>
          <w:szCs w:val="24"/>
        </w:rPr>
        <w:t xml:space="preserve"> края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</w:t>
      </w:r>
      <w:r>
        <w:rPr>
          <w:color w:val="000000"/>
          <w:sz w:val="24"/>
          <w:szCs w:val="24"/>
        </w:rPr>
        <w:t>Хабаровского</w:t>
      </w:r>
      <w:r>
        <w:rPr>
          <w:color w:val="000000"/>
          <w:sz w:val="24"/>
          <w:szCs w:val="24"/>
        </w:rPr>
        <w:t xml:space="preserve"> края по максимальной толщине стенки гололеда с вероятностью непревышения 0,96 (повторяемостью 1 раз в 25 лет), 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организации учета электрической энергии на розничных рынках, утв. Постановлением Правительства РФ от 04.05.2012 N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19 июня 2020 г. N 890 «О порядке предоставления доступа к минимальному набору функций интеллектуальных систем учета электрической энергии (мощности)»;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Нормы отвода земель для электрических сетей напряжением 0,38 - 750 кВ. N 14278ТМ-Т1 (утв. Минтопэнерго 20.05.1994);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РФ от 24.02.2009 N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Приказ Ростехнадзора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Административные регламенты Администрации </w:t>
      </w:r>
      <w:r>
        <w:rPr>
          <w:color w:val="000000"/>
          <w:sz w:val="24"/>
          <w:szCs w:val="24"/>
        </w:rPr>
        <w:t>г. Хабаровск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Правила предоставления информации, необходимой для осуществления оперативно-диспетчерского управления в электроэнергетике, утверждённые приказом Минэнерго России от 20.12.2022 № 1340;</w:t>
      </w:r>
    </w:p>
    <w:p>
      <w:pPr>
        <w:pStyle w:val="ListParagraph"/>
        <w:numPr>
          <w:ilvl w:val="0"/>
          <w:numId w:val="2"/>
        </w:numPr>
        <w:ind w:left="360" w:right="0" w:hanging="360"/>
        <w:jc w:val="left"/>
        <w:rPr>
          <w:rFonts w:eastAsia="Times New Roman" w:cs="Times New Roman"/>
          <w:color w:val="auto"/>
          <w:sz w:val="24"/>
          <w:szCs w:val="24"/>
          <w:lang w:val="ru-RU" w:eastAsia="ru-RU" w:bidi="ar-SA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 w:bidi="ar-SA"/>
        </w:rPr>
        <w:t>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расчётных моделей электроэнергетических систем или фрагментов таких моделей для целей перспективного развития электроэнергетики, утверждённый приказом Минэнерго России от 17.02.2023 № 82.</w:t>
      </w:r>
    </w:p>
    <w:p>
      <w:pPr>
        <w:pStyle w:val="Normal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0" w:right="0" w:firstLine="426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sz w:val="24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overflowPunct w:val="false"/>
      <w:bidi w:val="0"/>
      <w:spacing w:lineRule="auto" w:line="240"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Hyperlink">
    <w:name w:val="Hyperlink"/>
    <w:rPr>
      <w:color w:val="0000FF"/>
      <w:u w:val="single"/>
    </w:rPr>
  </w:style>
  <w:style w:type="character" w:styleId="Hl">
    <w:name w:val="hl"/>
    <w:basedOn w:val="DefaultParagraph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60" w:after="0"/>
      <w:ind w:left="720" w:right="0" w:hanging="0"/>
      <w:contextualSpacing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AlterOffice/3.4.0.6$Linux_X86_64 LibreOffice_project/ad8c41dce69105450bf791d4900d64b1f82e10d0</Application>
  <AppVersion>15.0000</AppVersion>
  <DocSecurity>0</DocSecurity>
  <Pages>4</Pages>
  <Words>1459</Words>
  <Characters>11088</Characters>
  <CharactersWithSpaces>12420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2023-12-15T04:52:00Z</dcterms:created>
  <dc:creator>Квашнина Ирина Владимировна</dc:creator>
  <dc:description/>
  <dc:language>ru-RU</dc:language>
  <cp:lastModifiedBy>mozzhuhin_dyu</cp:lastModifiedBy>
  <dcterms:modified xsi:type="dcterms:W3CDTF">2025-08-29T16:02:13Z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